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jc w:val="right"/>
      </w:pPr>
      <w:r>
        <w:rPr/>
        <w:t>ADOPTED – SEPTEMBER 22,</w:t>
      </w:r>
      <w:r>
        <w:rPr>
          <w:spacing w:val="-9"/>
        </w:rPr>
        <w:t> </w:t>
      </w:r>
      <w:r>
        <w:rPr/>
        <w:t>2026</w:t>
      </w:r>
    </w:p>
    <w:p>
      <w:pPr>
        <w:spacing w:before="0"/>
        <w:ind w:left="0" w:right="98" w:firstLine="0"/>
        <w:jc w:val="right"/>
        <w:rPr>
          <w:b/>
          <w:sz w:val="24"/>
        </w:rPr>
      </w:pPr>
      <w:r>
        <w:rPr>
          <w:b/>
          <w:sz w:val="24"/>
        </w:rPr>
        <w:t>AGENDA ITEM NO.</w:t>
      </w:r>
      <w:r>
        <w:rPr>
          <w:b/>
          <w:spacing w:val="-6"/>
          <w:sz w:val="24"/>
        </w:rPr>
        <w:t> </w:t>
      </w:r>
      <w:r>
        <w:rPr>
          <w:b/>
          <w:sz w:val="24"/>
        </w:rPr>
        <w:t>32</w:t>
      </w:r>
    </w:p>
    <w:p>
      <w:pPr>
        <w:pStyle w:val="BodyText"/>
        <w:spacing w:before="2"/>
        <w:rPr>
          <w:b/>
          <w:sz w:val="16"/>
        </w:rPr>
      </w:pPr>
    </w:p>
    <w:p>
      <w:pPr>
        <w:pStyle w:val="BodyText"/>
        <w:spacing w:before="90"/>
        <w:ind w:left="100"/>
      </w:pPr>
      <w:r>
        <w:rPr/>
        <w:t>Introduced by the Human Services and Finance Committees of the:</w:t>
      </w:r>
    </w:p>
    <w:p>
      <w:pPr>
        <w:pStyle w:val="BodyText"/>
      </w:pPr>
    </w:p>
    <w:p>
      <w:pPr>
        <w:pStyle w:val="BodyText"/>
        <w:ind w:left="650" w:right="651"/>
        <w:jc w:val="center"/>
      </w:pPr>
      <w:r>
        <w:rPr/>
        <w:t>INGHAM COUNTY BOARD OF COMMISSIONERS</w:t>
      </w:r>
    </w:p>
    <w:p>
      <w:pPr>
        <w:pStyle w:val="BodyText"/>
      </w:pPr>
    </w:p>
    <w:p>
      <w:pPr>
        <w:pStyle w:val="Heading1"/>
        <w:ind w:left="652" w:right="651"/>
      </w:pPr>
      <w:r>
        <w:rPr/>
        <w:t>RESOLUTION TO AUTHORIZE A COOPERATIVE CASH MATCH AGREEMENT WITH MICHIGAN REHABILITATION SERVICES</w:t>
      </w:r>
    </w:p>
    <w:p>
      <w:pPr>
        <w:pStyle w:val="BodyText"/>
        <w:rPr>
          <w:b/>
        </w:rPr>
      </w:pPr>
    </w:p>
    <w:p>
      <w:pPr>
        <w:spacing w:before="0"/>
        <w:ind w:left="651" w:right="651" w:firstLine="0"/>
        <w:jc w:val="center"/>
        <w:rPr>
          <w:b/>
          <w:sz w:val="24"/>
        </w:rPr>
      </w:pPr>
      <w:r>
        <w:rPr>
          <w:b/>
          <w:sz w:val="24"/>
        </w:rPr>
        <w:t>RESOLUTION #26 – 449</w:t>
      </w:r>
    </w:p>
    <w:p>
      <w:pPr>
        <w:pStyle w:val="BodyText"/>
        <w:rPr>
          <w:b/>
          <w:sz w:val="26"/>
        </w:rPr>
      </w:pPr>
    </w:p>
    <w:p>
      <w:pPr>
        <w:pStyle w:val="BodyText"/>
        <w:rPr>
          <w:b/>
          <w:sz w:val="22"/>
        </w:rPr>
      </w:pPr>
    </w:p>
    <w:p>
      <w:pPr>
        <w:pStyle w:val="BodyText"/>
        <w:ind w:left="100" w:right="849"/>
      </w:pPr>
      <w:r>
        <w:rPr/>
        <w:t>WHEREAS, Michigan Rehabilitation Services (MRS) engages in cash match agreements, which require contributions from partner organizations; and</w:t>
      </w:r>
    </w:p>
    <w:p>
      <w:pPr>
        <w:pStyle w:val="BodyText"/>
      </w:pPr>
    </w:p>
    <w:p>
      <w:pPr>
        <w:pStyle w:val="BodyText"/>
        <w:ind w:left="100"/>
      </w:pPr>
      <w:r>
        <w:rPr/>
        <w:t>WHEREAS, prior to 2008, the Ingham County Department of Health and Human Services (DHHS) had a long- standing agreement with MRS to act as a pass-through entity for match funding provided by local agencies; and</w:t>
      </w:r>
    </w:p>
    <w:p>
      <w:pPr>
        <w:pStyle w:val="BodyText"/>
      </w:pPr>
    </w:p>
    <w:p>
      <w:pPr>
        <w:pStyle w:val="BodyText"/>
        <w:ind w:left="100" w:right="389"/>
      </w:pPr>
      <w:r>
        <w:rPr/>
        <w:t>WHEREAS, the agreement between DHHS and MRS came under scrutiny because match dollars may not be federal, and this agreement between two state agencies raises that concern; and</w:t>
      </w:r>
    </w:p>
    <w:p>
      <w:pPr>
        <w:pStyle w:val="BodyText"/>
      </w:pPr>
    </w:p>
    <w:p>
      <w:pPr>
        <w:pStyle w:val="BodyText"/>
        <w:ind w:left="100" w:right="395"/>
      </w:pPr>
      <w:r>
        <w:rPr/>
        <w:t>WHEREAS, MRS finds it preferable to establish this agreement with a local government agency to avoid the appearance and confusion of inter-departmental agreements at the state; and</w:t>
      </w:r>
    </w:p>
    <w:p>
      <w:pPr>
        <w:pStyle w:val="BodyText"/>
      </w:pPr>
    </w:p>
    <w:p>
      <w:pPr>
        <w:pStyle w:val="BodyText"/>
        <w:ind w:left="100" w:right="595"/>
      </w:pPr>
      <w:r>
        <w:rPr/>
        <w:t>WHEREAS, Ingham County has been identified as an appropriate pass-through entity to help maintain this agreement since 2008; and</w:t>
      </w:r>
    </w:p>
    <w:p>
      <w:pPr>
        <w:pStyle w:val="BodyText"/>
      </w:pPr>
    </w:p>
    <w:p>
      <w:pPr>
        <w:pStyle w:val="BodyText"/>
        <w:ind w:left="100"/>
      </w:pPr>
      <w:r>
        <w:rPr/>
        <w:t>WHEREAS, MRS wishes to enter into other, similar cash match agreements.</w:t>
      </w:r>
    </w:p>
    <w:p>
      <w:pPr>
        <w:pStyle w:val="BodyText"/>
      </w:pPr>
    </w:p>
    <w:p>
      <w:pPr>
        <w:pStyle w:val="BodyText"/>
        <w:spacing w:before="1"/>
        <w:ind w:left="100" w:right="130"/>
      </w:pPr>
      <w:r>
        <w:rPr/>
        <w:t>THEREFORE BE IT RESOLVED, that the Ingham County Board of Commissioners authorizes entering into a cash match agreement not to exceed $466,667 ($126,000 local match) with Michigan Department of Health and Human Services – Michigan Rehabilitation Services to provide vocational guidance and counseling, employment related training and transportation, placement supports, and supported employment services to individuals with disabilities who are eligible for MRS services.</w:t>
      </w:r>
    </w:p>
    <w:p>
      <w:pPr>
        <w:pStyle w:val="BodyText"/>
        <w:spacing w:before="11"/>
        <w:rPr>
          <w:sz w:val="23"/>
        </w:rPr>
      </w:pPr>
    </w:p>
    <w:p>
      <w:pPr>
        <w:pStyle w:val="BodyText"/>
        <w:ind w:left="100" w:right="402"/>
      </w:pPr>
      <w:r>
        <w:rPr/>
        <w:t>BE IT FURTHER RESOLVED, that this agreement is contingent upon the execution of agreements with Peckham Inc., to provide Ingham County’s local match portion ($126,000), and no county funds will be used for this purpose.</w:t>
      </w:r>
    </w:p>
    <w:p>
      <w:pPr>
        <w:pStyle w:val="BodyText"/>
      </w:pPr>
    </w:p>
    <w:p>
      <w:pPr>
        <w:pStyle w:val="BodyText"/>
        <w:ind w:left="100" w:right="415"/>
      </w:pPr>
      <w:r>
        <w:rPr/>
        <w:t>BE IT FURTHER RESOLVED, that the term of the agreements shall be October 1, 2026 through September 30, 2027.</w:t>
      </w:r>
    </w:p>
    <w:p>
      <w:pPr>
        <w:pStyle w:val="BodyText"/>
      </w:pPr>
    </w:p>
    <w:p>
      <w:pPr>
        <w:pStyle w:val="BodyText"/>
        <w:ind w:left="100"/>
      </w:pPr>
      <w:r>
        <w:rPr/>
        <w:t>BE IT FURTHER RESOLVED, that the Controller/Administrator is authorized to make any necessary budget adjustments consistent with this resolution.</w:t>
      </w:r>
    </w:p>
    <w:p>
      <w:pPr>
        <w:pStyle w:val="BodyText"/>
      </w:pPr>
    </w:p>
    <w:p>
      <w:pPr>
        <w:pStyle w:val="BodyText"/>
        <w:ind w:left="100" w:right="202"/>
      </w:pPr>
      <w:r>
        <w:rPr/>
        <w:t>BE IT FURTHER RESOLVED, that the Chairperson of the Ingham County Board of Commissioners is authorized to sign any necessary contract documents consistent with this resolution and approved as to form by the County Attorney.</w:t>
      </w:r>
    </w:p>
    <w:p>
      <w:pPr>
        <w:spacing w:after="0"/>
        <w:sectPr>
          <w:type w:val="continuous"/>
          <w:pgSz w:w="12240" w:h="15840"/>
          <w:pgMar w:top="1360" w:bottom="280" w:left="620" w:right="620"/>
        </w:sectPr>
      </w:pPr>
    </w:p>
    <w:p>
      <w:pPr>
        <w:pStyle w:val="BodyText"/>
        <w:spacing w:before="10"/>
        <w:rPr>
          <w:sz w:val="10"/>
        </w:rPr>
      </w:pPr>
    </w:p>
    <w:p>
      <w:pPr>
        <w:spacing w:before="90"/>
        <w:ind w:left="100" w:right="0" w:firstLine="0"/>
        <w:jc w:val="left"/>
        <w:rPr>
          <w:sz w:val="24"/>
        </w:rPr>
      </w:pPr>
      <w:r>
        <w:rPr>
          <w:b/>
          <w:sz w:val="24"/>
        </w:rPr>
        <w:t>HUMAN SERVICES: Yeas: </w:t>
      </w:r>
      <w:r>
        <w:rPr>
          <w:sz w:val="24"/>
        </w:rPr>
        <w:t>Tennis, Morgan, Willis, Ruest, Schafer</w:t>
      </w:r>
    </w:p>
    <w:p>
      <w:pPr>
        <w:tabs>
          <w:tab w:pos="2211" w:val="left" w:leader="none"/>
          <w:tab w:pos="4755" w:val="left" w:leader="none"/>
        </w:tabs>
        <w:spacing w:before="0"/>
        <w:ind w:left="70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3"/>
          <w:sz w:val="24"/>
        </w:rPr>
        <w:t> </w:t>
      </w:r>
      <w:r>
        <w:rPr>
          <w:sz w:val="24"/>
        </w:rPr>
        <w:t>Cahill,</w:t>
      </w:r>
      <w:r>
        <w:rPr>
          <w:spacing w:val="-2"/>
          <w:sz w:val="24"/>
        </w:rPr>
        <w:t> </w:t>
      </w:r>
      <w:r>
        <w:rPr>
          <w:sz w:val="24"/>
        </w:rPr>
        <w:t>Trubac</w:t>
        <w:tab/>
      </w:r>
      <w:r>
        <w:rPr>
          <w:b/>
          <w:sz w:val="24"/>
        </w:rPr>
        <w:t>Approved  09/14/26</w:t>
      </w:r>
    </w:p>
    <w:p>
      <w:pPr>
        <w:pStyle w:val="BodyText"/>
        <w:spacing w:before="6"/>
        <w:rPr>
          <w:b/>
          <w:sz w:val="27"/>
        </w:rPr>
      </w:pPr>
    </w:p>
    <w:p>
      <w:pPr>
        <w:spacing w:before="0"/>
        <w:ind w:left="100" w:right="0" w:firstLine="0"/>
        <w:jc w:val="left"/>
        <w:rPr>
          <w:sz w:val="24"/>
        </w:rPr>
      </w:pPr>
      <w:r>
        <w:rPr>
          <w:b/>
          <w:sz w:val="24"/>
        </w:rPr>
        <w:t>FINANCE: Yeas: </w:t>
      </w:r>
      <w:r>
        <w:rPr>
          <w:sz w:val="24"/>
        </w:rPr>
        <w:t>Grebner, Morgan, Tennis, Sebolt, Maiville</w:t>
      </w:r>
    </w:p>
    <w:p>
      <w:pPr>
        <w:tabs>
          <w:tab w:pos="2163" w:val="left" w:leader="none"/>
          <w:tab w:pos="4880" w:val="left" w:leader="none"/>
        </w:tabs>
        <w:spacing w:before="41"/>
        <w:ind w:left="700" w:right="0" w:firstLine="0"/>
        <w:jc w:val="left"/>
        <w:rPr>
          <w:b/>
          <w:sz w:val="24"/>
        </w:rPr>
      </w:pPr>
      <w:r>
        <w:rPr>
          <w:b/>
          <w:sz w:val="24"/>
        </w:rPr>
        <w:t>Nays:</w:t>
      </w:r>
      <w:r>
        <w:rPr>
          <w:b/>
          <w:spacing w:val="58"/>
          <w:sz w:val="24"/>
        </w:rPr>
        <w:t> </w:t>
      </w:r>
      <w:r>
        <w:rPr>
          <w:sz w:val="24"/>
        </w:rPr>
        <w:t>None</w:t>
        <w:tab/>
      </w:r>
      <w:r>
        <w:rPr>
          <w:b/>
          <w:sz w:val="24"/>
        </w:rPr>
        <w:t>Absent:</w:t>
      </w:r>
      <w:r>
        <w:rPr>
          <w:b/>
          <w:spacing w:val="57"/>
          <w:sz w:val="24"/>
        </w:rPr>
        <w:t> </w:t>
      </w:r>
      <w:r>
        <w:rPr>
          <w:sz w:val="24"/>
        </w:rPr>
        <w:t>Polsdofer,</w:t>
      </w:r>
      <w:r>
        <w:rPr>
          <w:spacing w:val="-1"/>
          <w:sz w:val="24"/>
        </w:rPr>
        <w:t> </w:t>
      </w:r>
      <w:r>
        <w:rPr>
          <w:sz w:val="24"/>
        </w:rPr>
        <w:t>Pratt</w:t>
        <w:tab/>
      </w:r>
      <w:r>
        <w:rPr>
          <w:b/>
          <w:sz w:val="24"/>
        </w:rPr>
        <w:t>Approved  09/16/26</w:t>
      </w:r>
    </w:p>
    <w:sectPr>
      <w:pgSz w:w="12240" w:h="15840"/>
      <w:pgMar w:top="1500" w:bottom="280" w:left="62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right="98"/>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2026-09-23T14:50:24Z</dcterms:created>
  <dcterms:modified xsi:type="dcterms:W3CDTF">2026-09-23T14:50:24Z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2026-09-23T00:00:00Z</vt:filetime>
  </property>
  <property fmtid="{D5CDD505-2E9C-101B-9397-08002B2CF9AE}" pid="3" name="Creator">
    <vt:lpwstr>Acrobat PDFMaker 20 for Word</vt:lpwstr>
  </property>
  <property fmtid="{D5CDD505-2E9C-101B-9397-08002B2CF9AE}" pid="4" name="LastSaved">
    <vt:filetime>2026-09-23T00:00:00Z</vt:filetime>
  </property>
</Properties>
</file>